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626C145"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D87FE7">
        <w:rPr>
          <w:rFonts w:cs="Arial"/>
          <w:bCs/>
          <w:noProof w:val="0"/>
          <w:sz w:val="24"/>
          <w:szCs w:val="24"/>
        </w:rPr>
        <w:t>6</w:t>
      </w:r>
      <w:r w:rsidR="002C1220" w:rsidRPr="00484DBF">
        <w:rPr>
          <w:rFonts w:cs="Arial"/>
          <w:bCs/>
          <w:noProof w:val="0"/>
          <w:sz w:val="24"/>
          <w:szCs w:val="24"/>
        </w:rPr>
        <w:tab/>
      </w:r>
      <w:r w:rsidR="00A77D2F" w:rsidRPr="00A77D2F">
        <w:rPr>
          <w:rFonts w:cs="Arial"/>
          <w:bCs/>
          <w:noProof w:val="0"/>
          <w:sz w:val="24"/>
          <w:szCs w:val="24"/>
        </w:rPr>
        <w:t>R3-19</w:t>
      </w:r>
      <w:r w:rsidR="0026547A">
        <w:rPr>
          <w:rFonts w:cs="Arial"/>
          <w:bCs/>
          <w:noProof w:val="0"/>
          <w:sz w:val="24"/>
          <w:szCs w:val="24"/>
        </w:rPr>
        <w:t>6591</w:t>
      </w:r>
    </w:p>
    <w:bookmarkEnd w:id="0"/>
    <w:p w14:paraId="5669B020" w14:textId="2E69A6CB" w:rsidR="004C654E" w:rsidRPr="00484DBF" w:rsidRDefault="00D87FE7" w:rsidP="004C654E">
      <w:pPr>
        <w:pStyle w:val="Header"/>
        <w:tabs>
          <w:tab w:val="left" w:pos="2410"/>
        </w:tabs>
        <w:rPr>
          <w:rFonts w:eastAsia="MS Mincho" w:cs="Arial"/>
          <w:sz w:val="24"/>
          <w:szCs w:val="24"/>
          <w:lang w:val="en-US"/>
        </w:rPr>
      </w:pPr>
      <w:r>
        <w:rPr>
          <w:rFonts w:eastAsia="MS Mincho" w:cs="Arial"/>
          <w:sz w:val="24"/>
          <w:szCs w:val="24"/>
          <w:lang w:val="en-US"/>
        </w:rPr>
        <w:t>Reno, NV, USA</w:t>
      </w:r>
      <w:r w:rsidR="00FC5FE8">
        <w:rPr>
          <w:rFonts w:eastAsia="MS Mincho" w:cs="Arial"/>
          <w:sz w:val="24"/>
          <w:szCs w:val="24"/>
          <w:lang w:val="en-US"/>
        </w:rPr>
        <w:t xml:space="preserve">, </w:t>
      </w:r>
      <w:r w:rsidR="00683882">
        <w:rPr>
          <w:rFonts w:eastAsia="MS Mincho" w:cs="Arial"/>
          <w:sz w:val="24"/>
          <w:szCs w:val="24"/>
          <w:lang w:val="en-US"/>
        </w:rPr>
        <w:t>1</w:t>
      </w:r>
      <w:r>
        <w:rPr>
          <w:rFonts w:eastAsia="MS Mincho" w:cs="Arial"/>
          <w:sz w:val="24"/>
          <w:szCs w:val="24"/>
          <w:lang w:val="en-US"/>
        </w:rPr>
        <w:t>8</w:t>
      </w:r>
      <w:r w:rsidR="00FC5FE8">
        <w:rPr>
          <w:rFonts w:eastAsia="MS Mincho" w:cs="Arial"/>
          <w:sz w:val="24"/>
          <w:szCs w:val="24"/>
          <w:lang w:val="en-US"/>
        </w:rPr>
        <w:t>-</w:t>
      </w:r>
      <w:r>
        <w:rPr>
          <w:rFonts w:eastAsia="MS Mincho" w:cs="Arial"/>
          <w:sz w:val="24"/>
          <w:szCs w:val="24"/>
          <w:lang w:val="en-US"/>
        </w:rPr>
        <w:t>22</w:t>
      </w:r>
      <w:r w:rsidR="00FC5FE8">
        <w:rPr>
          <w:rFonts w:eastAsia="MS Mincho" w:cs="Arial"/>
          <w:sz w:val="24"/>
          <w:szCs w:val="24"/>
          <w:lang w:val="en-US"/>
        </w:rPr>
        <w:t xml:space="preserve"> </w:t>
      </w:r>
      <w:r>
        <w:rPr>
          <w:rFonts w:eastAsia="MS Mincho" w:cs="Arial"/>
          <w:sz w:val="24"/>
          <w:szCs w:val="24"/>
          <w:lang w:val="en-US"/>
        </w:rPr>
        <w:t>Nov</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2C61E3C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378E4">
        <w:rPr>
          <w:rFonts w:cs="Arial"/>
          <w:b/>
          <w:bCs/>
          <w:sz w:val="24"/>
        </w:rPr>
        <w:t>15.3.1</w:t>
      </w:r>
      <w:r w:rsidR="00D87FE7">
        <w:rPr>
          <w:rFonts w:cs="Arial"/>
          <w:b/>
          <w:bCs/>
          <w:sz w:val="24"/>
        </w:rPr>
        <w:t>.5</w:t>
      </w:r>
    </w:p>
    <w:p w14:paraId="02505283" w14:textId="69B077D5"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r w:rsidR="00A42324">
        <w:rPr>
          <w:rFonts w:ascii="Arial" w:hAnsi="Arial" w:cs="Arial"/>
          <w:b/>
          <w:bCs/>
          <w:sz w:val="24"/>
        </w:rPr>
        <w:t xml:space="preserve">, </w:t>
      </w:r>
      <w:r w:rsidR="00A42324" w:rsidRPr="00A42324">
        <w:rPr>
          <w:rFonts w:ascii="Arial" w:hAnsi="Arial" w:cs="Arial"/>
          <w:b/>
          <w:bCs/>
          <w:sz w:val="24"/>
        </w:rPr>
        <w:t>Vodafone</w:t>
      </w:r>
    </w:p>
    <w:p w14:paraId="5E7A28BB" w14:textId="2D1FAF13"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F439BB">
        <w:rPr>
          <w:rFonts w:ascii="Arial" w:hAnsi="Arial" w:cs="Arial"/>
          <w:b/>
          <w:bCs/>
          <w:sz w:val="24"/>
        </w:rPr>
        <w:t>Solutions to avoid</w:t>
      </w:r>
      <w:r w:rsidR="009C7812">
        <w:rPr>
          <w:rFonts w:ascii="Arial" w:hAnsi="Arial" w:cs="Arial"/>
          <w:b/>
          <w:bCs/>
          <w:sz w:val="24"/>
        </w:rPr>
        <w:t xml:space="preserve"> overload due to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682DAD18" w14:textId="75D0794A" w:rsidR="009C7812" w:rsidRDefault="00F34C6F" w:rsidP="005D742E">
      <w:pPr>
        <w:rPr>
          <w:lang w:val="en-US"/>
        </w:rPr>
      </w:pPr>
      <w:bookmarkStart w:id="1" w:name="_Toc474247438"/>
      <w:r>
        <w:rPr>
          <w:lang w:val="en-US"/>
        </w:rPr>
        <w:t>At RAN3 #105 meeting, it was discussed that introduction of CHO may result in higher resource reservation in the network [1]. The reason is that CHO is likely to increase the multiple preparation. At that meeting, it was proposed that RAN3 shall discuss solutions to mitigate this problem.</w:t>
      </w:r>
    </w:p>
    <w:p w14:paraId="59CA1586" w14:textId="426CA4C2" w:rsidR="00F34C6F" w:rsidRDefault="00F34C6F" w:rsidP="005D742E">
      <w:pPr>
        <w:rPr>
          <w:lang w:val="en-US"/>
        </w:rPr>
      </w:pPr>
      <w:r>
        <w:rPr>
          <w:lang w:val="en-US"/>
        </w:rPr>
        <w:t>The first one proposed at RAN3 #105 was to include some indication concerning the likelihood that the requested CHO will be executed. The main concern was that such indication is subjective. In this paper, we further consider that option, as well as propose other solutions.</w:t>
      </w:r>
    </w:p>
    <w:p w14:paraId="5CF9814A" w14:textId="135CC7F5" w:rsidR="00D87FE7" w:rsidRDefault="00D87FE7" w:rsidP="005D742E">
      <w:pPr>
        <w:rPr>
          <w:lang w:val="en-US"/>
        </w:rPr>
      </w:pPr>
      <w:r>
        <w:rPr>
          <w:lang w:val="en-US"/>
        </w:rPr>
        <w:t>The paper was originally submitted to RAN3 #105-bis, but not treated.</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7B262402" w14:textId="2F8928D9" w:rsidR="00CF06CC" w:rsidRDefault="001E7356" w:rsidP="005759A2">
      <w:pPr>
        <w:rPr>
          <w:lang w:val="en-US"/>
        </w:rPr>
      </w:pPr>
      <w:r>
        <w:rPr>
          <w:lang w:val="en-US"/>
        </w:rPr>
        <w:t xml:space="preserve">As discussed </w:t>
      </w:r>
      <w:r w:rsidR="006B5406">
        <w:rPr>
          <w:lang w:val="en-US"/>
        </w:rPr>
        <w:t>in [1], CHO was designed with two scenarios in mind:</w:t>
      </w:r>
    </w:p>
    <w:p w14:paraId="5E8F4F1A" w14:textId="1162E823" w:rsidR="006B5406" w:rsidRPr="006B5406" w:rsidRDefault="006B5406" w:rsidP="006B5406">
      <w:pPr>
        <w:pStyle w:val="ListParagraph"/>
        <w:numPr>
          <w:ilvl w:val="0"/>
          <w:numId w:val="34"/>
        </w:numPr>
        <w:spacing w:after="180"/>
        <w:ind w:left="714" w:hanging="357"/>
        <w:contextualSpacing w:val="0"/>
        <w:rPr>
          <w:sz w:val="20"/>
        </w:rPr>
      </w:pPr>
      <w:r w:rsidRPr="006B5406">
        <w:rPr>
          <w:sz w:val="20"/>
        </w:rPr>
        <w:t>Early preparation possibly to many targets; or</w:t>
      </w:r>
    </w:p>
    <w:p w14:paraId="4DF6D554" w14:textId="4D891648" w:rsidR="006B5406" w:rsidRPr="006B5406" w:rsidRDefault="008610C2" w:rsidP="006B5406">
      <w:pPr>
        <w:pStyle w:val="ListParagraph"/>
        <w:numPr>
          <w:ilvl w:val="0"/>
          <w:numId w:val="34"/>
        </w:numPr>
        <w:spacing w:after="180"/>
        <w:ind w:left="714" w:hanging="357"/>
        <w:contextualSpacing w:val="0"/>
        <w:rPr>
          <w:sz w:val="20"/>
        </w:rPr>
      </w:pPr>
      <w:r>
        <w:rPr>
          <w:sz w:val="20"/>
        </w:rPr>
        <w:t>Preparation</w:t>
      </w:r>
      <w:r w:rsidR="006B5406" w:rsidRPr="006B5406">
        <w:rPr>
          <w:sz w:val="20"/>
        </w:rPr>
        <w:t xml:space="preserve"> about the same time as regular HO and towards a single target.</w:t>
      </w:r>
    </w:p>
    <w:p w14:paraId="5A864D92" w14:textId="733D83C4" w:rsidR="006B5406" w:rsidRDefault="00CE7388" w:rsidP="006B5406">
      <w:r>
        <w:t>The risk of overload is related strictly with the 1</w:t>
      </w:r>
      <w:r w:rsidRPr="00CE7388">
        <w:rPr>
          <w:vertAlign w:val="superscript"/>
        </w:rPr>
        <w:t>st</w:t>
      </w:r>
      <w:r>
        <w:t xml:space="preserve"> scenario: if multiple cells are prepared for a single UE, especially if they are served in different target nodes, then in all the network amount of resources allocated increases significantly, as compared to the scenario of a classic HO (or the 2</w:t>
      </w:r>
      <w:r w:rsidRPr="00CE7388">
        <w:rPr>
          <w:vertAlign w:val="superscript"/>
        </w:rPr>
        <w:t>nd</w:t>
      </w:r>
      <w:r>
        <w:t xml:space="preserve"> scenario of CHO). </w:t>
      </w:r>
    </w:p>
    <w:p w14:paraId="39CF07FB" w14:textId="28B4CF0A" w:rsidR="00CE7388" w:rsidRPr="008734CD" w:rsidRDefault="00CE7388" w:rsidP="006B5406">
      <w:pPr>
        <w:rPr>
          <w:b/>
        </w:rPr>
      </w:pPr>
      <w:r w:rsidRPr="008734CD">
        <w:rPr>
          <w:b/>
        </w:rPr>
        <w:t>Observation 1: Higher average resource reservation is related to the scenario where CHO is prepared early and towards multiple cells.</w:t>
      </w:r>
      <w:r w:rsidR="000314A7" w:rsidRPr="008734CD">
        <w:rPr>
          <w:b/>
        </w:rPr>
        <w:t xml:space="preserve"> It is not likely if CHO is meant to be used like a classic HO, but with increased robustness.</w:t>
      </w:r>
    </w:p>
    <w:p w14:paraId="49F81D78" w14:textId="52E07190" w:rsidR="008734CD" w:rsidRDefault="000314A7" w:rsidP="006B5406">
      <w:r>
        <w:t xml:space="preserve">The purpose of the CHO is well known at the source node, but the impact is on the target node. However, the latter does not know, how to reserve the resources: can it apply some statistical optimisation, if the UE is less likely to arrive </w:t>
      </w:r>
      <w:r w:rsidR="008734CD">
        <w:t xml:space="preserve">soon </w:t>
      </w:r>
      <w:r>
        <w:t>(and even if it ever does arrive)</w:t>
      </w:r>
      <w:r w:rsidR="008734CD">
        <w:t>, or shall it reserve them as strictly as in case of a classic HO – because the UE is very likely to arrive soon. To be on the safe side, it should treat each CHO request like a classic HO, but such policy will lead to the discussed problem: network-wide overload. Therefore</w:t>
      </w:r>
      <w:r w:rsidR="000B4E88">
        <w:t>,</w:t>
      </w:r>
      <w:r w:rsidR="008734CD">
        <w:t xml:space="preserve"> the easiest and most efficient solution is to enable the source node to tell the target node in the CHO request which of the two policies are assumed.</w:t>
      </w:r>
    </w:p>
    <w:p w14:paraId="4C6CF7F8" w14:textId="20174CA6" w:rsidR="008734CD" w:rsidRPr="00A473EC" w:rsidRDefault="008734CD" w:rsidP="006B5406">
      <w:pPr>
        <w:rPr>
          <w:b/>
        </w:rPr>
      </w:pPr>
      <w:r w:rsidRPr="00A473EC">
        <w:rPr>
          <w:b/>
        </w:rPr>
        <w:t>Proposal 1: The target node shall be informed if the CHO request shall be treated like a classic HO, or if it may apply some statistical resource optimisation.</w:t>
      </w:r>
    </w:p>
    <w:p w14:paraId="38E42FA2" w14:textId="3F68CDA4" w:rsidR="008734CD" w:rsidRDefault="008734CD" w:rsidP="00CC4BDF">
      <w:r>
        <w:t>The latter may be made more specific, so that the likelihood</w:t>
      </w:r>
      <w:r w:rsidR="0022797B">
        <w:t xml:space="preserve"> of </w:t>
      </w:r>
      <w:r w:rsidR="00DD5469">
        <w:t>UE arrival</w:t>
      </w:r>
      <w:r w:rsidR="0022797B">
        <w:t xml:space="preserve"> and thereby the resources that </w:t>
      </w:r>
      <w:proofErr w:type="gramStart"/>
      <w:r w:rsidR="0022797B">
        <w:t>have to</w:t>
      </w:r>
      <w:proofErr w:type="gramEnd"/>
      <w:r w:rsidR="0022797B">
        <w:t xml:space="preserve"> be reserved</w:t>
      </w:r>
      <w:r>
        <w:t xml:space="preserve"> can be estimated. </w:t>
      </w:r>
      <w:r w:rsidR="00CC4BDF">
        <w:t>The source cell may have enough knowledge to estimate the probability for given UE, as it is the node that serves the UE and decides on the CHO conditions. Therefore, the percentage can be expressed either directly, as integer value (where “100%” means “like classic HO”</w:t>
      </w:r>
      <w:proofErr w:type="gramStart"/>
      <w:r w:rsidR="00CC4BDF">
        <w:t>), or</w:t>
      </w:r>
      <w:proofErr w:type="gramEnd"/>
      <w:r w:rsidR="00CC4BDF">
        <w:t xml:space="preserve"> using codepoints corresponding to probability ranges </w:t>
      </w:r>
      <w:r>
        <w:t>(e.g. “low probability” for 0-25%, “medium” for 25-50% and “high” for above 50%).</w:t>
      </w:r>
    </w:p>
    <w:p w14:paraId="6BFA8312" w14:textId="76962CD4" w:rsidR="008734CD" w:rsidRPr="00A473EC" w:rsidRDefault="008734CD" w:rsidP="006B5406">
      <w:pPr>
        <w:rPr>
          <w:b/>
        </w:rPr>
      </w:pPr>
      <w:r w:rsidRPr="00A473EC">
        <w:rPr>
          <w:b/>
        </w:rPr>
        <w:t xml:space="preserve">Proposal 2: RAN3 shall consider </w:t>
      </w:r>
      <w:r w:rsidR="007206AC">
        <w:rPr>
          <w:b/>
        </w:rPr>
        <w:t>using the percentage indication for the estimated arrival probability (where 100% can be interpreted as “like classic HO”)</w:t>
      </w:r>
      <w:r w:rsidR="00A473EC" w:rsidRPr="00A473EC">
        <w:rPr>
          <w:b/>
        </w:rPr>
        <w:t>.</w:t>
      </w:r>
    </w:p>
    <w:p w14:paraId="7E17EE1F" w14:textId="7B105EB7" w:rsidR="00A473EC" w:rsidRDefault="00B05B44" w:rsidP="006B5406">
      <w:r>
        <w:lastRenderedPageBreak/>
        <w:t>A</w:t>
      </w:r>
      <w:r w:rsidR="00A473EC">
        <w:t xml:space="preserve">nother mechanism shall be implemented to avoid unnecessary signalling. </w:t>
      </w:r>
      <w:r>
        <w:t>The source node knows and may inform the target about the policy behind the CHO request. However, it does not know if the target has any resources yet to optimize. Plain load level, as discussed in the SON WI, does not help, because resources available for incoming HO may be a separate pool. Therefore, the target may not be able to accept any CHO “overbooking”. Of course, the classic way to handle such case is to reject the new CHO request, if the target has already other cells prepared for the UE. This</w:t>
      </w:r>
      <w:r w:rsidR="001D0FD5">
        <w:t>, however,</w:t>
      </w:r>
      <w:r>
        <w:t xml:space="preserve"> </w:t>
      </w:r>
      <w:r w:rsidR="001D0FD5">
        <w:t>will be revealed to the source only when it does request a new target cell and will cost it unnecessary signalling. More efficient way will be to let it know already when the previous CHO is accepted how many target cell</w:t>
      </w:r>
      <w:r w:rsidR="00204352">
        <w:t>s</w:t>
      </w:r>
      <w:r w:rsidR="001D0FD5">
        <w:t xml:space="preserve"> will be allowed for this type of UE/service</w:t>
      </w:r>
      <w:r w:rsidR="00204352">
        <w:t xml:space="preserve">, </w:t>
      </w:r>
      <w:proofErr w:type="gramStart"/>
      <w:r w:rsidR="00204352">
        <w:t>in particular whether</w:t>
      </w:r>
      <w:proofErr w:type="gramEnd"/>
      <w:r w:rsidR="00204352">
        <w:t xml:space="preserve"> </w:t>
      </w:r>
      <w:r w:rsidR="005E4B3F">
        <w:t xml:space="preserve">or not </w:t>
      </w:r>
      <w:r w:rsidR="00204352">
        <w:t xml:space="preserve">the target </w:t>
      </w:r>
      <w:proofErr w:type="spellStart"/>
      <w:r w:rsidR="00204352">
        <w:t>gNB</w:t>
      </w:r>
      <w:r w:rsidR="005E4B3F">
        <w:t>’s</w:t>
      </w:r>
      <w:proofErr w:type="spellEnd"/>
      <w:r w:rsidR="005E4B3F">
        <w:t xml:space="preserve"> resource reservation</w:t>
      </w:r>
      <w:r w:rsidR="00204352">
        <w:t xml:space="preserve"> is dimensioned </w:t>
      </w:r>
      <w:r w:rsidR="005E4B3F">
        <w:t>for CHO with multiple targets</w:t>
      </w:r>
    </w:p>
    <w:p w14:paraId="53C8BCB6" w14:textId="5D6B5F14" w:rsidR="001D0FD5" w:rsidRPr="001D0FD5" w:rsidRDefault="001D0FD5" w:rsidP="006B5406">
      <w:pPr>
        <w:rPr>
          <w:b/>
        </w:rPr>
      </w:pPr>
      <w:r w:rsidRPr="001D0FD5">
        <w:rPr>
          <w:b/>
        </w:rPr>
        <w:t>Proposal 3: In order to avoid unnecessary failures of CHO preparation, the target cell shall be enabled to include in the HO REQ ACK the information about the maximum number of target cells allowed for CHO for this UE.</w:t>
      </w:r>
    </w:p>
    <w:p w14:paraId="28E42E52" w14:textId="77777777" w:rsidR="000F16C4" w:rsidRPr="005F10C3" w:rsidRDefault="00CD2620" w:rsidP="00E00CEF">
      <w:pPr>
        <w:pStyle w:val="Heading1"/>
      </w:pPr>
      <w:r w:rsidRPr="005F10C3">
        <w:t>3</w:t>
      </w:r>
      <w:r w:rsidR="000F16C4" w:rsidRPr="005F10C3">
        <w:tab/>
      </w:r>
      <w:r w:rsidRPr="005F10C3">
        <w:t>Conclusions</w:t>
      </w:r>
    </w:p>
    <w:p w14:paraId="51AB9802" w14:textId="5210C76B" w:rsidR="00A77D2F" w:rsidRDefault="00A42324" w:rsidP="009F482E">
      <w:pPr>
        <w:jc w:val="both"/>
        <w:rPr>
          <w:bCs/>
          <w:lang w:val="en-US"/>
        </w:rPr>
      </w:pPr>
      <w:r>
        <w:rPr>
          <w:bCs/>
          <w:lang w:val="en-US"/>
        </w:rPr>
        <w:t xml:space="preserve">In this paper, we </w:t>
      </w:r>
      <w:proofErr w:type="spellStart"/>
      <w:r>
        <w:rPr>
          <w:bCs/>
          <w:lang w:val="en-US"/>
        </w:rPr>
        <w:t>analysed</w:t>
      </w:r>
      <w:proofErr w:type="spellEnd"/>
      <w:r>
        <w:rPr>
          <w:bCs/>
          <w:lang w:val="en-US"/>
        </w:rPr>
        <w:t xml:space="preserve"> the problem of possibly higher resource reservation level if CHO is used widely. We make following proposals:</w:t>
      </w:r>
    </w:p>
    <w:p w14:paraId="0B6DA35A" w14:textId="3C56F4D4"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 xml:space="preserve">The target node shall be informed if the CHO request shall be treated like a classic HO, or if it may apply some statistical resource </w:t>
      </w:r>
      <w:proofErr w:type="spellStart"/>
      <w:r w:rsidRPr="00A42324">
        <w:rPr>
          <w:bCs/>
          <w:sz w:val="20"/>
        </w:rPr>
        <w:t>optimisation</w:t>
      </w:r>
      <w:proofErr w:type="spellEnd"/>
      <w:r w:rsidRPr="00A42324">
        <w:rPr>
          <w:bCs/>
          <w:sz w:val="20"/>
        </w:rPr>
        <w:t>.</w:t>
      </w:r>
    </w:p>
    <w:p w14:paraId="08206DEB" w14:textId="6EFB4E51"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RAN3 shall consider using the percentage indication for the estimated arrival probability (where 100% can be interpreted as “like classic HO”).</w:t>
      </w:r>
    </w:p>
    <w:p w14:paraId="68BF3952" w14:textId="39F86972"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In order to avoid unnecessary failures of CHO preparation, the target cell shall be enabled to include in the HO REQ ACK the information about the maximum number of target cells allowed for CHO for this UE.</w:t>
      </w:r>
    </w:p>
    <w:p w14:paraId="1181D1B6" w14:textId="7DB8DC44" w:rsidR="00A42324" w:rsidRDefault="002D44E3" w:rsidP="00A42324">
      <w:pPr>
        <w:jc w:val="both"/>
        <w:rPr>
          <w:bCs/>
          <w:lang w:val="en-US"/>
        </w:rPr>
      </w:pPr>
      <w:r>
        <w:rPr>
          <w:bCs/>
          <w:lang w:val="en-US"/>
        </w:rPr>
        <w:t xml:space="preserve">The proposed changes are implemented in TPs </w:t>
      </w:r>
      <w:r w:rsidR="00B378E4">
        <w:rPr>
          <w:bCs/>
          <w:lang w:val="en-US"/>
        </w:rPr>
        <w:t xml:space="preserve">to the BL CRs </w:t>
      </w:r>
      <w:r>
        <w:rPr>
          <w:bCs/>
          <w:lang w:val="en-US"/>
        </w:rPr>
        <w:t xml:space="preserve">for </w:t>
      </w:r>
      <w:proofErr w:type="spellStart"/>
      <w:r>
        <w:rPr>
          <w:bCs/>
          <w:lang w:val="en-US"/>
        </w:rPr>
        <w:t>X</w:t>
      </w:r>
      <w:r w:rsidR="00A529BB">
        <w:rPr>
          <w:bCs/>
          <w:lang w:val="en-US"/>
        </w:rPr>
        <w:t>n</w:t>
      </w:r>
      <w:r>
        <w:rPr>
          <w:bCs/>
          <w:lang w:val="en-US"/>
        </w:rPr>
        <w:t>AP</w:t>
      </w:r>
      <w:proofErr w:type="spellEnd"/>
      <w:r>
        <w:rPr>
          <w:bCs/>
          <w:lang w:val="en-US"/>
        </w:rPr>
        <w:t xml:space="preserve"> [2] and X</w:t>
      </w:r>
      <w:r w:rsidR="00A529BB">
        <w:rPr>
          <w:bCs/>
          <w:lang w:val="en-US"/>
        </w:rPr>
        <w:t>2</w:t>
      </w:r>
      <w:r>
        <w:rPr>
          <w:bCs/>
          <w:lang w:val="en-US"/>
        </w:rPr>
        <w:t>AP [3]</w:t>
      </w:r>
      <w:r w:rsidR="00D87FE7">
        <w:rPr>
          <w:bCs/>
          <w:lang w:val="en-US"/>
        </w:rPr>
        <w:t xml:space="preserve"> (resubmissions from RAN3 #105-bis)</w:t>
      </w:r>
      <w:r>
        <w:rPr>
          <w:bCs/>
          <w:lang w:val="en-US"/>
        </w:rPr>
        <w:t>.</w:t>
      </w:r>
    </w:p>
    <w:p w14:paraId="483F8717" w14:textId="77777777" w:rsidR="00403B9B" w:rsidRPr="006E13D1" w:rsidRDefault="00403B9B" w:rsidP="00403B9B">
      <w:pPr>
        <w:pStyle w:val="Heading1"/>
      </w:pPr>
      <w:r w:rsidRPr="006E13D1">
        <w:t>References</w:t>
      </w:r>
    </w:p>
    <w:p w14:paraId="3DE2A0DA" w14:textId="5EC73BC1" w:rsidR="00EF4630" w:rsidRDefault="00846E32" w:rsidP="00671901">
      <w:pPr>
        <w:numPr>
          <w:ilvl w:val="0"/>
          <w:numId w:val="4"/>
        </w:numPr>
        <w:overflowPunct w:val="0"/>
        <w:autoSpaceDE w:val="0"/>
        <w:autoSpaceDN w:val="0"/>
        <w:adjustRightInd w:val="0"/>
        <w:textAlignment w:val="baseline"/>
        <w:rPr>
          <w:lang w:val="en-US"/>
        </w:rPr>
      </w:pPr>
      <w:bookmarkStart w:id="2" w:name="_Hlk4571997"/>
      <w:r>
        <w:rPr>
          <w:lang w:val="en-US"/>
        </w:rPr>
        <w:t>R3-19</w:t>
      </w:r>
      <w:r w:rsidR="00FD62C8">
        <w:rPr>
          <w:lang w:val="en-US"/>
        </w:rPr>
        <w:t>3</w:t>
      </w:r>
      <w:r w:rsidR="00DC4DAF">
        <w:rPr>
          <w:lang w:val="en-US"/>
        </w:rPr>
        <w:t>497</w:t>
      </w:r>
      <w:r>
        <w:rPr>
          <w:lang w:val="en-US"/>
        </w:rPr>
        <w:t>, RAN3 #10</w:t>
      </w:r>
      <w:r w:rsidR="00E24C1B">
        <w:rPr>
          <w:lang w:val="en-US"/>
        </w:rPr>
        <w:t>5</w:t>
      </w:r>
      <w:bookmarkEnd w:id="2"/>
    </w:p>
    <w:p w14:paraId="1C4C4C68" w14:textId="36B3D5BF" w:rsidR="002D44E3" w:rsidRDefault="002D44E3" w:rsidP="00671901">
      <w:pPr>
        <w:numPr>
          <w:ilvl w:val="0"/>
          <w:numId w:val="4"/>
        </w:numPr>
        <w:overflowPunct w:val="0"/>
        <w:autoSpaceDE w:val="0"/>
        <w:autoSpaceDN w:val="0"/>
        <w:adjustRightInd w:val="0"/>
        <w:textAlignment w:val="baseline"/>
        <w:rPr>
          <w:lang w:val="en-US"/>
        </w:rPr>
      </w:pPr>
      <w:r>
        <w:rPr>
          <w:lang w:val="en-US"/>
        </w:rPr>
        <w:t>R3-19</w:t>
      </w:r>
      <w:r w:rsidR="0026547A">
        <w:rPr>
          <w:lang w:val="en-US"/>
        </w:rPr>
        <w:t>6592</w:t>
      </w:r>
      <w:r>
        <w:rPr>
          <w:lang w:val="en-US"/>
        </w:rPr>
        <w:t>, RAN3 #10</w:t>
      </w:r>
      <w:r w:rsidR="00D87FE7">
        <w:rPr>
          <w:lang w:val="en-US"/>
        </w:rPr>
        <w:t>6</w:t>
      </w:r>
    </w:p>
    <w:p w14:paraId="7D2104F9" w14:textId="09BACFB5" w:rsidR="002D44E3" w:rsidRDefault="002D44E3" w:rsidP="00671901">
      <w:pPr>
        <w:numPr>
          <w:ilvl w:val="0"/>
          <w:numId w:val="4"/>
        </w:numPr>
        <w:overflowPunct w:val="0"/>
        <w:autoSpaceDE w:val="0"/>
        <w:autoSpaceDN w:val="0"/>
        <w:adjustRightInd w:val="0"/>
        <w:textAlignment w:val="baseline"/>
        <w:rPr>
          <w:lang w:val="en-US"/>
        </w:rPr>
      </w:pPr>
      <w:r>
        <w:rPr>
          <w:lang w:val="en-US"/>
        </w:rPr>
        <w:t>R3-19</w:t>
      </w:r>
      <w:r w:rsidR="0026547A">
        <w:rPr>
          <w:lang w:val="en-US"/>
        </w:rPr>
        <w:t>6593</w:t>
      </w:r>
      <w:bookmarkStart w:id="3" w:name="_GoBack"/>
      <w:bookmarkEnd w:id="3"/>
      <w:r>
        <w:rPr>
          <w:lang w:val="en-US"/>
        </w:rPr>
        <w:t>, RAN3 #10</w:t>
      </w:r>
      <w:r w:rsidR="00D87FE7">
        <w:rPr>
          <w:lang w:val="en-US"/>
        </w:rPr>
        <w:t>6</w:t>
      </w:r>
    </w:p>
    <w:sectPr w:rsidR="002D44E3" w:rsidSect="000614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15BE4" w14:textId="77777777" w:rsidR="0051359F" w:rsidRDefault="0051359F">
      <w:r>
        <w:separator/>
      </w:r>
    </w:p>
  </w:endnote>
  <w:endnote w:type="continuationSeparator" w:id="0">
    <w:p w14:paraId="4DB906E4" w14:textId="77777777" w:rsidR="0051359F" w:rsidRDefault="0051359F">
      <w:r>
        <w:continuationSeparator/>
      </w:r>
    </w:p>
  </w:endnote>
  <w:endnote w:type="continuationNotice" w:id="1">
    <w:p w14:paraId="0DC90FD8" w14:textId="77777777" w:rsidR="0051359F" w:rsidRDefault="00513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DFD34" w14:textId="77777777" w:rsidR="0051359F" w:rsidRDefault="0051359F">
      <w:r>
        <w:separator/>
      </w:r>
    </w:p>
  </w:footnote>
  <w:footnote w:type="continuationSeparator" w:id="0">
    <w:p w14:paraId="5730499F" w14:textId="77777777" w:rsidR="0051359F" w:rsidRDefault="0051359F">
      <w:r>
        <w:continuationSeparator/>
      </w:r>
    </w:p>
  </w:footnote>
  <w:footnote w:type="continuationNotice" w:id="1">
    <w:p w14:paraId="7C070333" w14:textId="77777777" w:rsidR="0051359F" w:rsidRDefault="00513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7061EF"/>
    <w:multiLevelType w:val="hybridMultilevel"/>
    <w:tmpl w:val="B582D8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5A9765B"/>
    <w:multiLevelType w:val="hybridMultilevel"/>
    <w:tmpl w:val="B3D44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4"/>
  </w:num>
  <w:num w:numId="4">
    <w:abstractNumId w:val="9"/>
  </w:num>
  <w:num w:numId="5">
    <w:abstractNumId w:val="10"/>
  </w:num>
  <w:num w:numId="6">
    <w:abstractNumId w:val="34"/>
  </w:num>
  <w:num w:numId="7">
    <w:abstractNumId w:val="21"/>
  </w:num>
  <w:num w:numId="8">
    <w:abstractNumId w:val="15"/>
  </w:num>
  <w:num w:numId="9">
    <w:abstractNumId w:val="33"/>
  </w:num>
  <w:num w:numId="10">
    <w:abstractNumId w:val="20"/>
  </w:num>
  <w:num w:numId="11">
    <w:abstractNumId w:val="12"/>
  </w:num>
  <w:num w:numId="12">
    <w:abstractNumId w:val="27"/>
  </w:num>
  <w:num w:numId="13">
    <w:abstractNumId w:val="28"/>
  </w:num>
  <w:num w:numId="14">
    <w:abstractNumId w:val="26"/>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3"/>
  </w:num>
  <w:num w:numId="26">
    <w:abstractNumId w:val="16"/>
  </w:num>
  <w:num w:numId="27">
    <w:abstractNumId w:val="19"/>
  </w:num>
  <w:num w:numId="28">
    <w:abstractNumId w:val="31"/>
  </w:num>
  <w:num w:numId="29">
    <w:abstractNumId w:val="32"/>
  </w:num>
  <w:num w:numId="30">
    <w:abstractNumId w:val="22"/>
  </w:num>
  <w:num w:numId="31">
    <w:abstractNumId w:val="30"/>
  </w:num>
  <w:num w:numId="32">
    <w:abstractNumId w:val="11"/>
  </w:num>
  <w:num w:numId="33">
    <w:abstractNumId w:val="29"/>
  </w:num>
  <w:num w:numId="34">
    <w:abstractNumId w:val="13"/>
  </w:num>
  <w:num w:numId="3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14A7"/>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4E88"/>
    <w:rsid w:val="000B53A8"/>
    <w:rsid w:val="000B7558"/>
    <w:rsid w:val="000B7BCF"/>
    <w:rsid w:val="000C00D3"/>
    <w:rsid w:val="000C1438"/>
    <w:rsid w:val="000C1CC1"/>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5056"/>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245"/>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FD5"/>
    <w:rsid w:val="001D393D"/>
    <w:rsid w:val="001D412B"/>
    <w:rsid w:val="001D6244"/>
    <w:rsid w:val="001D6AAA"/>
    <w:rsid w:val="001D6CB7"/>
    <w:rsid w:val="001E0B79"/>
    <w:rsid w:val="001E12EF"/>
    <w:rsid w:val="001E36F2"/>
    <w:rsid w:val="001E407C"/>
    <w:rsid w:val="001E7356"/>
    <w:rsid w:val="001F15B6"/>
    <w:rsid w:val="001F168B"/>
    <w:rsid w:val="001F63AE"/>
    <w:rsid w:val="001F6772"/>
    <w:rsid w:val="001F6925"/>
    <w:rsid w:val="002002E9"/>
    <w:rsid w:val="00201FD2"/>
    <w:rsid w:val="0020399F"/>
    <w:rsid w:val="00203B4C"/>
    <w:rsid w:val="00204352"/>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2797B"/>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2F"/>
    <w:rsid w:val="0025393D"/>
    <w:rsid w:val="00254371"/>
    <w:rsid w:val="00254EBB"/>
    <w:rsid w:val="0025778B"/>
    <w:rsid w:val="00262D37"/>
    <w:rsid w:val="00264132"/>
    <w:rsid w:val="0026547A"/>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4E3"/>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5CE4"/>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5BE"/>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3C59"/>
    <w:rsid w:val="004F4CF7"/>
    <w:rsid w:val="004F536A"/>
    <w:rsid w:val="005020E7"/>
    <w:rsid w:val="00502ACC"/>
    <w:rsid w:val="00503171"/>
    <w:rsid w:val="005104C3"/>
    <w:rsid w:val="0051206A"/>
    <w:rsid w:val="00512309"/>
    <w:rsid w:val="00512CFF"/>
    <w:rsid w:val="0051359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7B8F"/>
    <w:rsid w:val="005D53D9"/>
    <w:rsid w:val="005D742E"/>
    <w:rsid w:val="005E1C7A"/>
    <w:rsid w:val="005E431B"/>
    <w:rsid w:val="005E4B3F"/>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B38"/>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882"/>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406"/>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5FD"/>
    <w:rsid w:val="006F4FC0"/>
    <w:rsid w:val="006F6A8D"/>
    <w:rsid w:val="007004C2"/>
    <w:rsid w:val="00701BAD"/>
    <w:rsid w:val="0071199A"/>
    <w:rsid w:val="00711CED"/>
    <w:rsid w:val="007149BF"/>
    <w:rsid w:val="007151AC"/>
    <w:rsid w:val="0071627E"/>
    <w:rsid w:val="00716D58"/>
    <w:rsid w:val="007206AC"/>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036"/>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B78AF"/>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10C2"/>
    <w:rsid w:val="00862A45"/>
    <w:rsid w:val="00866280"/>
    <w:rsid w:val="00866E76"/>
    <w:rsid w:val="00866F16"/>
    <w:rsid w:val="0086799C"/>
    <w:rsid w:val="00870195"/>
    <w:rsid w:val="00870AEC"/>
    <w:rsid w:val="008734CD"/>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408B"/>
    <w:rsid w:val="00A245F3"/>
    <w:rsid w:val="00A26B6E"/>
    <w:rsid w:val="00A26C86"/>
    <w:rsid w:val="00A26D92"/>
    <w:rsid w:val="00A30EE8"/>
    <w:rsid w:val="00A319AA"/>
    <w:rsid w:val="00A32BB7"/>
    <w:rsid w:val="00A33330"/>
    <w:rsid w:val="00A35414"/>
    <w:rsid w:val="00A35C09"/>
    <w:rsid w:val="00A37223"/>
    <w:rsid w:val="00A42324"/>
    <w:rsid w:val="00A43886"/>
    <w:rsid w:val="00A43B3A"/>
    <w:rsid w:val="00A44166"/>
    <w:rsid w:val="00A455AE"/>
    <w:rsid w:val="00A4702F"/>
    <w:rsid w:val="00A473EC"/>
    <w:rsid w:val="00A529B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5B44"/>
    <w:rsid w:val="00B06598"/>
    <w:rsid w:val="00B07498"/>
    <w:rsid w:val="00B07B85"/>
    <w:rsid w:val="00B10117"/>
    <w:rsid w:val="00B114C3"/>
    <w:rsid w:val="00B12217"/>
    <w:rsid w:val="00B14699"/>
    <w:rsid w:val="00B15449"/>
    <w:rsid w:val="00B1723E"/>
    <w:rsid w:val="00B2235D"/>
    <w:rsid w:val="00B25551"/>
    <w:rsid w:val="00B25E3B"/>
    <w:rsid w:val="00B30390"/>
    <w:rsid w:val="00B31AA3"/>
    <w:rsid w:val="00B32436"/>
    <w:rsid w:val="00B34185"/>
    <w:rsid w:val="00B35B30"/>
    <w:rsid w:val="00B36640"/>
    <w:rsid w:val="00B37066"/>
    <w:rsid w:val="00B378E4"/>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A0F1F"/>
    <w:rsid w:val="00BA2519"/>
    <w:rsid w:val="00BA4DBE"/>
    <w:rsid w:val="00BA79DD"/>
    <w:rsid w:val="00BB05BD"/>
    <w:rsid w:val="00BC3297"/>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97AB3"/>
    <w:rsid w:val="00CA02ED"/>
    <w:rsid w:val="00CA0917"/>
    <w:rsid w:val="00CA0C12"/>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BDF"/>
    <w:rsid w:val="00CC6CA5"/>
    <w:rsid w:val="00CD0D75"/>
    <w:rsid w:val="00CD0E51"/>
    <w:rsid w:val="00CD11AE"/>
    <w:rsid w:val="00CD2620"/>
    <w:rsid w:val="00CD4C7B"/>
    <w:rsid w:val="00CD6C7B"/>
    <w:rsid w:val="00CE07A8"/>
    <w:rsid w:val="00CE1F72"/>
    <w:rsid w:val="00CE2062"/>
    <w:rsid w:val="00CE270D"/>
    <w:rsid w:val="00CE3251"/>
    <w:rsid w:val="00CE3415"/>
    <w:rsid w:val="00CE7388"/>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87FE7"/>
    <w:rsid w:val="00D911DC"/>
    <w:rsid w:val="00D9134D"/>
    <w:rsid w:val="00D9441A"/>
    <w:rsid w:val="00D96025"/>
    <w:rsid w:val="00D96454"/>
    <w:rsid w:val="00D9661C"/>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4DAF"/>
    <w:rsid w:val="00DC5291"/>
    <w:rsid w:val="00DD34F0"/>
    <w:rsid w:val="00DD40A9"/>
    <w:rsid w:val="00DD4EE9"/>
    <w:rsid w:val="00DD53C0"/>
    <w:rsid w:val="00DD5469"/>
    <w:rsid w:val="00DD58E9"/>
    <w:rsid w:val="00DD6A04"/>
    <w:rsid w:val="00DE0769"/>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6CBB"/>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5C02"/>
    <w:rsid w:val="00E568A6"/>
    <w:rsid w:val="00E569A4"/>
    <w:rsid w:val="00E57A08"/>
    <w:rsid w:val="00E62835"/>
    <w:rsid w:val="00E64069"/>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07EA"/>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4C6F"/>
    <w:rsid w:val="00F37743"/>
    <w:rsid w:val="00F402FC"/>
    <w:rsid w:val="00F4160A"/>
    <w:rsid w:val="00F418AD"/>
    <w:rsid w:val="00F41BFB"/>
    <w:rsid w:val="00F41D6C"/>
    <w:rsid w:val="00F42D7E"/>
    <w:rsid w:val="00F439BB"/>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5AIRPNAIUNRU-1156379521-1409</_dlc_DocId>
    <_dlc_DocIdUrl xmlns="71c5aaf6-e6ce-465b-b873-5148d2a4c105">
      <Url>https://nokia.sharepoint.com/sites/c5g/e2earch/_layouts/15/DocIdRedir.aspx?ID=5AIRPNAIUNRU-1156379521-1409</Url>
      <Description>5AIRPNAIUNRU-1156379521-1409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A5956682-AD67-4C78-A300-535241EF0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2</Pages>
  <Words>745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Solutions to avoid overload due to CHO</vt:lpstr>
    </vt:vector>
  </TitlesOfParts>
  <Company>Nokia, Nokia Shanghai Bell</Company>
  <LinksUpToDate>false</LinksUpToDate>
  <CharactersWithSpaces>5210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to avoid overload due to CHO</dc:title>
  <dc:subject>3GPP RAN3 #106</dc:subject>
  <dc:creator>Benoist Sébire</dc:creator>
  <cp:keywords>&lt;keyword[, keyword, ]&gt;</cp:keywords>
  <dc:description/>
  <cp:lastModifiedBy>Nokia</cp:lastModifiedBy>
  <cp:revision>13</cp:revision>
  <cp:lastPrinted>2019-03-27T07:16:00Z</cp:lastPrinted>
  <dcterms:created xsi:type="dcterms:W3CDTF">2019-10-01T16:53:00Z</dcterms:created>
  <dcterms:modified xsi:type="dcterms:W3CDTF">2019-11-08T09:04:00Z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b6dd55a6-e63a-426b-9532-4da75d1fe080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